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60" w:type="dxa"/>
        <w:tblInd w:w="93" w:type="dxa"/>
        <w:tblLook w:val="04A0"/>
      </w:tblPr>
      <w:tblGrid>
        <w:gridCol w:w="222"/>
        <w:gridCol w:w="4172"/>
        <w:gridCol w:w="1284"/>
        <w:gridCol w:w="1116"/>
        <w:gridCol w:w="1116"/>
        <w:gridCol w:w="1116"/>
        <w:gridCol w:w="1116"/>
      </w:tblGrid>
      <w:tr w:rsidR="00806A2C" w:rsidRPr="00806A2C" w:rsidTr="00806A2C">
        <w:trPr>
          <w:trHeight w:val="1110"/>
        </w:trPr>
        <w:tc>
          <w:tcPr>
            <w:tcW w:w="97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806A2C">
              <w:rPr>
                <w:rFonts w:ascii="Arial CYR" w:eastAsia="Times New Roman" w:hAnsi="Arial CYR" w:cs="Arial CYR"/>
                <w:sz w:val="20"/>
                <w:szCs w:val="20"/>
              </w:rPr>
              <w:t>Приложение №5</w:t>
            </w:r>
            <w:r w:rsidRPr="00806A2C">
              <w:rPr>
                <w:rFonts w:ascii="Arial CYR" w:eastAsia="Times New Roman" w:hAnsi="Arial CYR" w:cs="Arial CYR"/>
                <w:sz w:val="20"/>
                <w:szCs w:val="20"/>
              </w:rPr>
              <w:br/>
              <w:t>к муниципальной долгосрочной целевой                                                                                                                           программе "Энергосбережение и повышение энергетической эффективности                                                                                                                           города Батайска на период до 2014 года"</w:t>
            </w:r>
          </w:p>
        </w:tc>
      </w:tr>
      <w:tr w:rsidR="00806A2C" w:rsidRPr="00806A2C" w:rsidTr="00806A2C">
        <w:trPr>
          <w:trHeight w:val="315"/>
        </w:trPr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A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06A2C" w:rsidRPr="00806A2C" w:rsidTr="00806A2C">
        <w:trPr>
          <w:trHeight w:val="315"/>
        </w:trPr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806A2C" w:rsidRPr="00806A2C" w:rsidTr="00806A2C">
        <w:trPr>
          <w:trHeight w:val="915"/>
        </w:trPr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A2C">
              <w:rPr>
                <w:rFonts w:ascii="Times New Roman" w:eastAsia="Times New Roman" w:hAnsi="Times New Roman" w:cs="Times New Roman"/>
                <w:sz w:val="24"/>
                <w:szCs w:val="24"/>
              </w:rPr>
              <w:t>СВОДНЫЕ ПРОГНОЗНЫЕ ПОКАЗАТЕЛИ ЭКОНОМИИ ВСЕХ ВИДОВ ТОПЛИВНО-ЭНЕРГЕТИЧЕСКИХ РЕСУРСОВ БЮДЖЕТНЫМИ УЧРЕЖДЕНИЯМИ ГОРОДА БАТАЙСКА НА ПЕРИОД ДО 2014 ГОДА</w:t>
            </w:r>
          </w:p>
        </w:tc>
      </w:tr>
      <w:tr w:rsidR="00806A2C" w:rsidRPr="00806A2C" w:rsidTr="00806A2C">
        <w:trPr>
          <w:trHeight w:val="330"/>
        </w:trPr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806A2C" w:rsidRPr="00806A2C" w:rsidTr="00806A2C">
        <w:trPr>
          <w:trHeight w:val="1002"/>
        </w:trPr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17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06A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ТЭР</w:t>
            </w:r>
          </w:p>
        </w:tc>
        <w:tc>
          <w:tcPr>
            <w:tcW w:w="5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объемы потребления ТЭР </w:t>
            </w:r>
          </w:p>
        </w:tc>
      </w:tr>
      <w:tr w:rsidR="00806A2C" w:rsidRPr="00806A2C" w:rsidTr="00806A2C">
        <w:trPr>
          <w:trHeight w:val="600"/>
        </w:trPr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17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A2C">
              <w:rPr>
                <w:rFonts w:ascii="Times New Roman" w:eastAsia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A2C">
              <w:rPr>
                <w:rFonts w:ascii="Times New Roman" w:eastAsia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A2C">
              <w:rPr>
                <w:rFonts w:ascii="Times New Roman" w:eastAsia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A2C">
              <w:rPr>
                <w:rFonts w:ascii="Times New Roman" w:eastAsia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A2C">
              <w:rPr>
                <w:rFonts w:ascii="Times New Roman" w:eastAsia="Times New Roman" w:hAnsi="Times New Roman" w:cs="Times New Roman"/>
                <w:sz w:val="20"/>
                <w:szCs w:val="20"/>
              </w:rPr>
              <w:t>2013</w:t>
            </w:r>
          </w:p>
        </w:tc>
      </w:tr>
      <w:tr w:rsidR="00806A2C" w:rsidRPr="00806A2C" w:rsidTr="00806A2C">
        <w:trPr>
          <w:trHeight w:val="315"/>
        </w:trPr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1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06A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Электроэнергия, Всего, </w:t>
            </w:r>
            <w:proofErr w:type="spellStart"/>
            <w:r w:rsidRPr="00806A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</w:t>
            </w:r>
            <w:proofErr w:type="gramStart"/>
            <w:r w:rsidRPr="00806A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.к</w:t>
            </w:r>
            <w:proofErr w:type="gramEnd"/>
            <w:r w:rsidRPr="00806A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Вт.ч</w:t>
            </w:r>
            <w:proofErr w:type="spellEnd"/>
            <w:r w:rsidRPr="00806A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A2C">
              <w:rPr>
                <w:rFonts w:ascii="Times New Roman" w:eastAsia="Times New Roman" w:hAnsi="Times New Roman" w:cs="Times New Roman"/>
                <w:sz w:val="24"/>
                <w:szCs w:val="24"/>
              </w:rPr>
              <w:t>9081,97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A2C">
              <w:rPr>
                <w:rFonts w:ascii="Times New Roman" w:eastAsia="Times New Roman" w:hAnsi="Times New Roman" w:cs="Times New Roman"/>
                <w:sz w:val="24"/>
                <w:szCs w:val="24"/>
              </w:rPr>
              <w:t>10349,90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A2C">
              <w:rPr>
                <w:rFonts w:ascii="Times New Roman" w:eastAsia="Times New Roman" w:hAnsi="Times New Roman" w:cs="Times New Roman"/>
                <w:sz w:val="24"/>
                <w:szCs w:val="24"/>
              </w:rPr>
              <w:t>9832,41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A2C">
              <w:rPr>
                <w:rFonts w:ascii="Times New Roman" w:eastAsia="Times New Roman" w:hAnsi="Times New Roman" w:cs="Times New Roman"/>
                <w:sz w:val="24"/>
                <w:szCs w:val="24"/>
              </w:rPr>
              <w:t>9340,78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A2C">
              <w:rPr>
                <w:rFonts w:ascii="Times New Roman" w:eastAsia="Times New Roman" w:hAnsi="Times New Roman" w:cs="Times New Roman"/>
                <w:sz w:val="24"/>
                <w:szCs w:val="24"/>
              </w:rPr>
              <w:t>8873,75</w:t>
            </w:r>
          </w:p>
        </w:tc>
      </w:tr>
      <w:tr w:rsidR="00806A2C" w:rsidRPr="00806A2C" w:rsidTr="00806A2C">
        <w:trPr>
          <w:trHeight w:val="315"/>
        </w:trPr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A2C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806A2C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06A2C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A2C">
              <w:rPr>
                <w:rFonts w:ascii="Times New Roman" w:eastAsia="Times New Roman" w:hAnsi="Times New Roman" w:cs="Times New Roman"/>
                <w:sz w:val="24"/>
                <w:szCs w:val="24"/>
              </w:rPr>
              <w:t>30788,71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A2C">
              <w:rPr>
                <w:rFonts w:ascii="Times New Roman" w:eastAsia="Times New Roman" w:hAnsi="Times New Roman" w:cs="Times New Roman"/>
                <w:sz w:val="24"/>
                <w:szCs w:val="24"/>
              </w:rPr>
              <w:t>38191,13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A2C">
              <w:rPr>
                <w:rFonts w:ascii="Times New Roman" w:eastAsia="Times New Roman" w:hAnsi="Times New Roman" w:cs="Times New Roman"/>
                <w:sz w:val="24"/>
                <w:szCs w:val="24"/>
              </w:rPr>
              <w:t>36281,57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A2C">
              <w:rPr>
                <w:rFonts w:ascii="Times New Roman" w:eastAsia="Times New Roman" w:hAnsi="Times New Roman" w:cs="Times New Roman"/>
                <w:sz w:val="24"/>
                <w:szCs w:val="24"/>
              </w:rPr>
              <w:t>34467,50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A2C">
              <w:rPr>
                <w:rFonts w:ascii="Times New Roman" w:eastAsia="Times New Roman" w:hAnsi="Times New Roman" w:cs="Times New Roman"/>
                <w:sz w:val="24"/>
                <w:szCs w:val="24"/>
              </w:rPr>
              <w:t>32744,12</w:t>
            </w:r>
          </w:p>
        </w:tc>
      </w:tr>
      <w:tr w:rsidR="00806A2C" w:rsidRPr="00806A2C" w:rsidTr="00806A2C">
        <w:trPr>
          <w:trHeight w:val="315"/>
        </w:trPr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1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06A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Теплоэнергия</w:t>
            </w:r>
            <w:proofErr w:type="spellEnd"/>
            <w:r w:rsidRPr="00806A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Всего, Гкал.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A2C">
              <w:rPr>
                <w:rFonts w:ascii="Times New Roman" w:eastAsia="Times New Roman" w:hAnsi="Times New Roman" w:cs="Times New Roman"/>
                <w:sz w:val="24"/>
                <w:szCs w:val="24"/>
              </w:rPr>
              <w:t>16424,12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A2C">
              <w:rPr>
                <w:rFonts w:ascii="Times New Roman" w:eastAsia="Times New Roman" w:hAnsi="Times New Roman" w:cs="Times New Roman"/>
                <w:sz w:val="24"/>
                <w:szCs w:val="24"/>
              </w:rPr>
              <w:t>18068,31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A2C">
              <w:rPr>
                <w:rFonts w:ascii="Times New Roman" w:eastAsia="Times New Roman" w:hAnsi="Times New Roman" w:cs="Times New Roman"/>
                <w:sz w:val="24"/>
                <w:szCs w:val="24"/>
              </w:rPr>
              <w:t>17164,89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A2C">
              <w:rPr>
                <w:rFonts w:ascii="Times New Roman" w:eastAsia="Times New Roman" w:hAnsi="Times New Roman" w:cs="Times New Roman"/>
                <w:sz w:val="24"/>
                <w:szCs w:val="24"/>
              </w:rPr>
              <w:t>16306,65</w:t>
            </w:r>
          </w:p>
        </w:tc>
        <w:tc>
          <w:tcPr>
            <w:tcW w:w="10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A2C">
              <w:rPr>
                <w:rFonts w:ascii="Times New Roman" w:eastAsia="Times New Roman" w:hAnsi="Times New Roman" w:cs="Times New Roman"/>
                <w:sz w:val="24"/>
                <w:szCs w:val="24"/>
              </w:rPr>
              <w:t>15791,32</w:t>
            </w:r>
          </w:p>
        </w:tc>
      </w:tr>
      <w:tr w:rsidR="00806A2C" w:rsidRPr="00806A2C" w:rsidTr="00806A2C">
        <w:trPr>
          <w:trHeight w:val="315"/>
        </w:trPr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A2C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806A2C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06A2C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A2C">
              <w:rPr>
                <w:rFonts w:ascii="Times New Roman" w:eastAsia="Times New Roman" w:hAnsi="Times New Roman" w:cs="Times New Roman"/>
                <w:sz w:val="24"/>
                <w:szCs w:val="24"/>
              </w:rPr>
              <w:t>21240,58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A2C">
              <w:rPr>
                <w:rFonts w:ascii="Times New Roman" w:eastAsia="Times New Roman" w:hAnsi="Times New Roman" w:cs="Times New Roman"/>
                <w:sz w:val="24"/>
                <w:szCs w:val="24"/>
              </w:rPr>
              <w:t>27084,40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A2C">
              <w:rPr>
                <w:rFonts w:ascii="Times New Roman" w:eastAsia="Times New Roman" w:hAnsi="Times New Roman" w:cs="Times New Roman"/>
                <w:sz w:val="24"/>
                <w:szCs w:val="24"/>
              </w:rPr>
              <w:t>25730,18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A2C">
              <w:rPr>
                <w:rFonts w:ascii="Times New Roman" w:eastAsia="Times New Roman" w:hAnsi="Times New Roman" w:cs="Times New Roman"/>
                <w:sz w:val="24"/>
                <w:szCs w:val="24"/>
              </w:rPr>
              <w:t>24443,67</w:t>
            </w:r>
          </w:p>
        </w:tc>
        <w:tc>
          <w:tcPr>
            <w:tcW w:w="10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A2C">
              <w:rPr>
                <w:rFonts w:ascii="Times New Roman" w:eastAsia="Times New Roman" w:hAnsi="Times New Roman" w:cs="Times New Roman"/>
                <w:sz w:val="24"/>
                <w:szCs w:val="24"/>
              </w:rPr>
              <w:t>23221,48</w:t>
            </w:r>
          </w:p>
        </w:tc>
      </w:tr>
      <w:tr w:rsidR="00806A2C" w:rsidRPr="00806A2C" w:rsidTr="00806A2C">
        <w:trPr>
          <w:trHeight w:val="360"/>
        </w:trPr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1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06A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Природный газ, Всего, тыс</w:t>
            </w:r>
            <w:proofErr w:type="gramStart"/>
            <w:r w:rsidRPr="00806A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.м</w:t>
            </w:r>
            <w:proofErr w:type="gramEnd"/>
            <w:r w:rsidRPr="00806A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A2C">
              <w:rPr>
                <w:rFonts w:ascii="Times New Roman" w:eastAsia="Times New Roman" w:hAnsi="Times New Roman" w:cs="Times New Roman"/>
                <w:sz w:val="24"/>
                <w:szCs w:val="24"/>
              </w:rPr>
              <w:t>742,59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A2C">
              <w:rPr>
                <w:rFonts w:ascii="Times New Roman" w:eastAsia="Times New Roman" w:hAnsi="Times New Roman" w:cs="Times New Roman"/>
                <w:sz w:val="24"/>
                <w:szCs w:val="24"/>
              </w:rPr>
              <w:t>1003,10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A2C">
              <w:rPr>
                <w:rFonts w:ascii="Times New Roman" w:eastAsia="Times New Roman" w:hAnsi="Times New Roman" w:cs="Times New Roman"/>
                <w:sz w:val="24"/>
                <w:szCs w:val="24"/>
              </w:rPr>
              <w:t>952,95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A2C">
              <w:rPr>
                <w:rFonts w:ascii="Times New Roman" w:eastAsia="Times New Roman" w:hAnsi="Times New Roman" w:cs="Times New Roman"/>
                <w:sz w:val="24"/>
                <w:szCs w:val="24"/>
              </w:rPr>
              <w:t>905,30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A2C">
              <w:rPr>
                <w:rFonts w:ascii="Times New Roman" w:eastAsia="Times New Roman" w:hAnsi="Times New Roman" w:cs="Times New Roman"/>
                <w:sz w:val="24"/>
                <w:szCs w:val="24"/>
              </w:rPr>
              <w:t>860,03</w:t>
            </w:r>
          </w:p>
        </w:tc>
      </w:tr>
      <w:tr w:rsidR="00806A2C" w:rsidRPr="00806A2C" w:rsidTr="00806A2C">
        <w:trPr>
          <w:trHeight w:val="315"/>
        </w:trPr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A2C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806A2C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06A2C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A2C">
              <w:rPr>
                <w:rFonts w:ascii="Times New Roman" w:eastAsia="Times New Roman" w:hAnsi="Times New Roman" w:cs="Times New Roman"/>
                <w:sz w:val="24"/>
                <w:szCs w:val="24"/>
              </w:rPr>
              <w:t>2082,79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A2C">
              <w:rPr>
                <w:rFonts w:ascii="Times New Roman" w:eastAsia="Times New Roman" w:hAnsi="Times New Roman" w:cs="Times New Roman"/>
                <w:sz w:val="24"/>
                <w:szCs w:val="24"/>
              </w:rPr>
              <w:t>4493,59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A2C">
              <w:rPr>
                <w:rFonts w:ascii="Times New Roman" w:eastAsia="Times New Roman" w:hAnsi="Times New Roman" w:cs="Times New Roman"/>
                <w:sz w:val="24"/>
                <w:szCs w:val="24"/>
              </w:rPr>
              <w:t>4268,91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A2C">
              <w:rPr>
                <w:rFonts w:ascii="Times New Roman" w:eastAsia="Times New Roman" w:hAnsi="Times New Roman" w:cs="Times New Roman"/>
                <w:sz w:val="24"/>
                <w:szCs w:val="24"/>
              </w:rPr>
              <w:t>4055,46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A2C" w:rsidRPr="00806A2C" w:rsidRDefault="00806A2C" w:rsidP="00806A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A2C">
              <w:rPr>
                <w:rFonts w:ascii="Times New Roman" w:eastAsia="Times New Roman" w:hAnsi="Times New Roman" w:cs="Times New Roman"/>
                <w:sz w:val="24"/>
                <w:szCs w:val="24"/>
              </w:rPr>
              <w:t>3852,69</w:t>
            </w:r>
          </w:p>
        </w:tc>
      </w:tr>
      <w:tr w:rsidR="00806A2C" w:rsidRPr="00806A2C" w:rsidTr="00806A2C">
        <w:trPr>
          <w:trHeight w:val="315"/>
        </w:trPr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806A2C" w:rsidRPr="00806A2C" w:rsidTr="00806A2C">
        <w:trPr>
          <w:trHeight w:val="255"/>
        </w:trPr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806A2C" w:rsidRPr="00806A2C" w:rsidTr="00806A2C">
        <w:trPr>
          <w:trHeight w:val="315"/>
        </w:trPr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A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Примечание: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806A2C" w:rsidRPr="00806A2C" w:rsidTr="00806A2C">
        <w:trPr>
          <w:trHeight w:val="255"/>
        </w:trPr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A2C"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 стоимостных показателей на 2011-2013 годы произведен исходя из тарифа на 2010 год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A2C" w:rsidRPr="00806A2C" w:rsidRDefault="00806A2C" w:rsidP="00806A2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</w:tbl>
    <w:p w:rsidR="00F93D1A" w:rsidRDefault="00F93D1A"/>
    <w:sectPr w:rsidR="00F93D1A" w:rsidSect="00806A2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06A2C"/>
    <w:rsid w:val="00806A2C"/>
    <w:rsid w:val="00F93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2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973</Characters>
  <Application>Microsoft Office Word</Application>
  <DocSecurity>0</DocSecurity>
  <Lines>8</Lines>
  <Paragraphs>2</Paragraphs>
  <ScaleCrop>false</ScaleCrop>
  <Company>Администрация г.Батайска</Company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Black_Raven</dc:creator>
  <cp:keywords/>
  <dc:description/>
  <cp:lastModifiedBy>Black_Raven</cp:lastModifiedBy>
  <cp:revision>2</cp:revision>
  <dcterms:created xsi:type="dcterms:W3CDTF">2010-10-29T13:39:00Z</dcterms:created>
  <dcterms:modified xsi:type="dcterms:W3CDTF">2010-10-29T13:39:00Z</dcterms:modified>
</cp:coreProperties>
</file>